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A2D" w:rsidRDefault="00A07A2D" w:rsidP="00A07A2D">
      <w:pPr>
        <w:widowControl/>
        <w:wordWrap w:val="0"/>
        <w:spacing w:line="720" w:lineRule="auto"/>
        <w:ind w:rightChars="-19" w:right="-40"/>
        <w:jc w:val="center"/>
        <w:rPr>
          <w:rFonts w:ascii="宋体" w:eastAsia="华文行楷" w:hAnsi="宋体" w:cs="宋体"/>
          <w:b/>
          <w:color w:val="FF0000"/>
          <w:kern w:val="0"/>
          <w:sz w:val="130"/>
          <w:szCs w:val="130"/>
        </w:rPr>
      </w:pPr>
      <w:r>
        <w:rPr>
          <w:rFonts w:eastAsia="华文行楷" w:hAnsi="宋体" w:cs="宋体" w:hint="eastAsia"/>
          <w:b/>
          <w:color w:val="FF0000"/>
          <w:kern w:val="0"/>
          <w:sz w:val="130"/>
          <w:szCs w:val="130"/>
        </w:rPr>
        <w:t>简　讯</w:t>
      </w:r>
    </w:p>
    <w:p w:rsidR="00A07A2D" w:rsidRDefault="00A07A2D" w:rsidP="00A07A2D">
      <w:pPr>
        <w:widowControl/>
        <w:wordWrap w:val="0"/>
        <w:spacing w:line="520" w:lineRule="exact"/>
        <w:ind w:rightChars="-19" w:right="-40"/>
        <w:jc w:val="right"/>
        <w:rPr>
          <w:rFonts w:cs="宋体"/>
          <w:b/>
          <w:bCs/>
          <w:color w:val="333333"/>
          <w:kern w:val="0"/>
          <w:sz w:val="28"/>
        </w:rPr>
      </w:pPr>
      <w:r>
        <w:rPr>
          <w:rFonts w:cs="宋体" w:hint="eastAsia"/>
          <w:b/>
          <w:bCs/>
          <w:color w:val="333333"/>
          <w:kern w:val="0"/>
          <w:sz w:val="28"/>
        </w:rPr>
        <w:t xml:space="preserve">　</w:t>
      </w:r>
    </w:p>
    <w:p w:rsidR="00A07A2D" w:rsidRDefault="00A07A2D" w:rsidP="00A07A2D">
      <w:pPr>
        <w:widowControl/>
        <w:spacing w:line="520" w:lineRule="exact"/>
        <w:ind w:rightChars="-19" w:right="-40"/>
        <w:jc w:val="right"/>
        <w:rPr>
          <w:rFonts w:cs="宋体"/>
          <w:b/>
          <w:bCs/>
          <w:color w:val="333333"/>
          <w:kern w:val="0"/>
          <w:sz w:val="28"/>
        </w:rPr>
      </w:pPr>
    </w:p>
    <w:p w:rsidR="00A07A2D" w:rsidRDefault="00A07A2D" w:rsidP="00A07A2D">
      <w:pPr>
        <w:widowControl/>
        <w:spacing w:line="520" w:lineRule="exact"/>
        <w:ind w:rightChars="-19" w:right="-40"/>
        <w:jc w:val="right"/>
        <w:rPr>
          <w:rFonts w:ascii="宋体" w:eastAsia="华文仿宋" w:hAnsi="宋体" w:cs="宋体"/>
          <w:b/>
          <w:bCs/>
          <w:color w:val="333333"/>
          <w:kern w:val="0"/>
          <w:sz w:val="28"/>
          <w:szCs w:val="28"/>
        </w:rPr>
      </w:pPr>
      <w:r>
        <w:rPr>
          <w:rFonts w:eastAsia="华文楷体" w:hint="eastAsia"/>
          <w:b/>
          <w:bCs/>
          <w:color w:val="333333"/>
          <w:kern w:val="0"/>
          <w:sz w:val="28"/>
          <w:szCs w:val="28"/>
        </w:rPr>
        <w:t xml:space="preserve">　</w:t>
      </w:r>
      <w:r>
        <w:rPr>
          <w:rFonts w:ascii="宋体" w:eastAsia="华文仿宋" w:hAnsi="宋体" w:cs="宋体" w:hint="eastAsia"/>
          <w:b/>
          <w:bCs/>
          <w:color w:val="333333"/>
          <w:kern w:val="0"/>
          <w:sz w:val="28"/>
          <w:szCs w:val="28"/>
        </w:rPr>
        <w:t>2020</w:t>
      </w:r>
      <w:r>
        <w:rPr>
          <w:rFonts w:eastAsia="华文仿宋" w:cs="宋体" w:hint="eastAsia"/>
          <w:b/>
          <w:bCs/>
          <w:color w:val="333333"/>
          <w:kern w:val="0"/>
          <w:sz w:val="28"/>
          <w:szCs w:val="28"/>
        </w:rPr>
        <w:t>年　第</w:t>
      </w:r>
      <w:r>
        <w:rPr>
          <w:rFonts w:ascii="宋体" w:eastAsia="华文仿宋" w:hAnsi="宋体" w:cs="宋体" w:hint="eastAsia"/>
          <w:b/>
          <w:bCs/>
          <w:color w:val="333333"/>
          <w:kern w:val="0"/>
          <w:sz w:val="28"/>
          <w:szCs w:val="28"/>
        </w:rPr>
        <w:t>0</w:t>
      </w:r>
      <w:r w:rsidR="005206A4">
        <w:rPr>
          <w:rFonts w:ascii="宋体" w:eastAsia="华文仿宋" w:hAnsi="宋体" w:cs="宋体"/>
          <w:b/>
          <w:bCs/>
          <w:color w:val="333333"/>
          <w:kern w:val="0"/>
          <w:sz w:val="28"/>
          <w:szCs w:val="28"/>
        </w:rPr>
        <w:t>4</w:t>
      </w:r>
      <w:r>
        <w:rPr>
          <w:rFonts w:eastAsia="华文仿宋" w:cs="宋体" w:hint="eastAsia"/>
          <w:b/>
          <w:bCs/>
          <w:color w:val="333333"/>
          <w:kern w:val="0"/>
          <w:sz w:val="28"/>
          <w:szCs w:val="28"/>
        </w:rPr>
        <w:t>期</w:t>
      </w:r>
      <w:bookmarkStart w:id="0" w:name="_GoBack"/>
      <w:bookmarkEnd w:id="0"/>
    </w:p>
    <w:p w:rsidR="00A07A2D" w:rsidRDefault="00A07A2D" w:rsidP="00A07A2D">
      <w:pPr>
        <w:widowControl/>
        <w:wordWrap w:val="0"/>
        <w:spacing w:line="520" w:lineRule="exact"/>
        <w:jc w:val="right"/>
        <w:rPr>
          <w:rFonts w:eastAsia="华文仿宋" w:cs="宋体"/>
          <w:b/>
          <w:color w:val="FF0000"/>
          <w:kern w:val="0"/>
          <w:sz w:val="30"/>
          <w:szCs w:val="30"/>
        </w:rPr>
      </w:pPr>
      <w:r>
        <w:rPr>
          <w:rFonts w:eastAsia="华文仿宋" w:cs="宋体" w:hint="eastAsia"/>
          <w:b/>
          <w:color w:val="FF0000"/>
          <w:kern w:val="0"/>
          <w:sz w:val="30"/>
          <w:szCs w:val="30"/>
        </w:rPr>
        <w:t>苏州市吴中区教育技术中心</w:t>
      </w:r>
    </w:p>
    <w:p w:rsidR="00A07A2D" w:rsidRDefault="00A07A2D" w:rsidP="00260162">
      <w:pPr>
        <w:jc w:val="center"/>
        <w:rPr>
          <w:rFonts w:ascii="黑体" w:eastAsia="黑体" w:hAnsi="黑体"/>
          <w:sz w:val="32"/>
          <w:szCs w:val="32"/>
        </w:rPr>
      </w:pPr>
    </w:p>
    <w:p w:rsidR="00B029A9" w:rsidRDefault="00260162" w:rsidP="00260162">
      <w:pPr>
        <w:jc w:val="center"/>
        <w:rPr>
          <w:rFonts w:ascii="黑体" w:eastAsia="黑体" w:hAnsi="黑体"/>
          <w:sz w:val="32"/>
          <w:szCs w:val="32"/>
        </w:rPr>
      </w:pPr>
      <w:r w:rsidRPr="00260162">
        <w:rPr>
          <w:rFonts w:ascii="黑体" w:eastAsia="黑体" w:hAnsi="黑体" w:hint="eastAsia"/>
          <w:sz w:val="32"/>
          <w:szCs w:val="32"/>
        </w:rPr>
        <w:t>公布2</w:t>
      </w:r>
      <w:r w:rsidRPr="00260162">
        <w:rPr>
          <w:rFonts w:ascii="黑体" w:eastAsia="黑体" w:hAnsi="黑体"/>
          <w:sz w:val="32"/>
          <w:szCs w:val="32"/>
        </w:rPr>
        <w:t>020</w:t>
      </w:r>
      <w:r w:rsidRPr="00260162">
        <w:rPr>
          <w:rFonts w:ascii="黑体" w:eastAsia="黑体" w:hAnsi="黑体" w:hint="eastAsia"/>
          <w:sz w:val="32"/>
          <w:szCs w:val="32"/>
        </w:rPr>
        <w:t>年吴中区教育技术应用与研究论文评比的通知</w:t>
      </w:r>
    </w:p>
    <w:p w:rsidR="00260162" w:rsidRDefault="00260162" w:rsidP="00181C2D">
      <w:pPr>
        <w:ind w:firstLine="645"/>
        <w:rPr>
          <w:rFonts w:ascii="仿宋_GB2312" w:eastAsia="仿宋_GB2312" w:hAnsi="黑体"/>
          <w:sz w:val="28"/>
          <w:szCs w:val="28"/>
        </w:rPr>
      </w:pPr>
      <w:r w:rsidRPr="00260162">
        <w:rPr>
          <w:rFonts w:ascii="仿宋_GB2312" w:eastAsia="仿宋_GB2312" w:hAnsi="黑体" w:hint="eastAsia"/>
          <w:sz w:val="28"/>
          <w:szCs w:val="28"/>
        </w:rPr>
        <w:t>为推动信息技术与教育教学的深度融合，提升教育信息化应用研究水平，探索融合创新的理论模式，总结应用经验，吴中区组织举办了教育技术应用和研究论文评比活动。经学校积极组织</w:t>
      </w:r>
      <w:r w:rsidR="00E35D9B">
        <w:rPr>
          <w:rFonts w:ascii="仿宋_GB2312" w:eastAsia="仿宋_GB2312" w:hAnsi="黑体" w:hint="eastAsia"/>
          <w:sz w:val="28"/>
          <w:szCs w:val="28"/>
        </w:rPr>
        <w:t>宣传，</w:t>
      </w:r>
      <w:r w:rsidRPr="00260162">
        <w:rPr>
          <w:rFonts w:ascii="仿宋_GB2312" w:eastAsia="仿宋_GB2312" w:hAnsi="黑体" w:hint="eastAsia"/>
          <w:sz w:val="28"/>
          <w:szCs w:val="28"/>
        </w:rPr>
        <w:t>共收到</w:t>
      </w:r>
      <w:r w:rsidR="00E35D9B">
        <w:rPr>
          <w:rFonts w:ascii="仿宋_GB2312" w:eastAsia="仿宋_GB2312" w:hAnsi="黑体" w:hint="eastAsia"/>
          <w:sz w:val="28"/>
          <w:szCs w:val="28"/>
        </w:rPr>
        <w:t>教师</w:t>
      </w:r>
      <w:r w:rsidRPr="00260162">
        <w:rPr>
          <w:rFonts w:ascii="仿宋_GB2312" w:eastAsia="仿宋_GB2312" w:hAnsi="黑体" w:hint="eastAsia"/>
          <w:sz w:val="28"/>
          <w:szCs w:val="28"/>
        </w:rPr>
        <w:t>论文164篇，经过专家严格评审，共评出一等奖35篇，二等奖35篇，三等奖30篇。现将获奖结果公布如下，同时请</w:t>
      </w:r>
      <w:r w:rsidR="00E35D9B">
        <w:rPr>
          <w:rFonts w:ascii="仿宋_GB2312" w:eastAsia="仿宋_GB2312" w:hAnsi="黑体" w:hint="eastAsia"/>
          <w:sz w:val="28"/>
          <w:szCs w:val="28"/>
        </w:rPr>
        <w:t>所有</w:t>
      </w:r>
      <w:r w:rsidR="004E13A6">
        <w:rPr>
          <w:rFonts w:ascii="仿宋_GB2312" w:eastAsia="仿宋_GB2312" w:hAnsi="黑体" w:hint="eastAsia"/>
          <w:sz w:val="28"/>
          <w:szCs w:val="28"/>
        </w:rPr>
        <w:t>获奖教师</w:t>
      </w:r>
      <w:r w:rsidR="00951B73">
        <w:rPr>
          <w:rFonts w:ascii="仿宋_GB2312" w:eastAsia="仿宋_GB2312" w:hAnsi="黑体" w:hint="eastAsia"/>
          <w:sz w:val="28"/>
          <w:szCs w:val="28"/>
        </w:rPr>
        <w:t>同步参加江苏省教育信息化论文征集遴选活动</w:t>
      </w:r>
      <w:r w:rsidR="004E13A6">
        <w:rPr>
          <w:rFonts w:ascii="仿宋_GB2312" w:eastAsia="仿宋_GB2312" w:hAnsi="黑体" w:hint="eastAsia"/>
          <w:sz w:val="28"/>
          <w:szCs w:val="28"/>
        </w:rPr>
        <w:t>及第十一届“中国移动‘和教育’杯全国教育技术论文活动</w:t>
      </w:r>
      <w:r w:rsidR="00951B73">
        <w:rPr>
          <w:rFonts w:ascii="仿宋_GB2312" w:eastAsia="仿宋_GB2312" w:hAnsi="黑体" w:hint="eastAsia"/>
          <w:sz w:val="28"/>
          <w:szCs w:val="28"/>
        </w:rPr>
        <w:t>，</w:t>
      </w:r>
      <w:r w:rsidR="00197CA2">
        <w:rPr>
          <w:rFonts w:ascii="仿宋_GB2312" w:eastAsia="仿宋_GB2312" w:hAnsi="黑体" w:hint="eastAsia"/>
          <w:sz w:val="28"/>
          <w:szCs w:val="28"/>
        </w:rPr>
        <w:t>具体</w:t>
      </w:r>
      <w:r w:rsidR="00951B73">
        <w:rPr>
          <w:rFonts w:ascii="仿宋_GB2312" w:eastAsia="仿宋_GB2312" w:hAnsi="黑体" w:hint="eastAsia"/>
          <w:sz w:val="28"/>
          <w:szCs w:val="28"/>
        </w:rPr>
        <w:t>办法参见《关于开展2</w:t>
      </w:r>
      <w:r w:rsidR="00951B73">
        <w:rPr>
          <w:rFonts w:ascii="仿宋_GB2312" w:eastAsia="仿宋_GB2312" w:hAnsi="黑体"/>
          <w:sz w:val="28"/>
          <w:szCs w:val="28"/>
        </w:rPr>
        <w:t>020</w:t>
      </w:r>
      <w:r w:rsidR="00951B73">
        <w:rPr>
          <w:rFonts w:ascii="仿宋_GB2312" w:eastAsia="仿宋_GB2312" w:hAnsi="黑体" w:hint="eastAsia"/>
          <w:sz w:val="28"/>
          <w:szCs w:val="28"/>
        </w:rPr>
        <w:t>年江苏省教育信息化论文征集活动的通知》（详见附件）</w:t>
      </w:r>
      <w:r w:rsidR="004E13A6">
        <w:rPr>
          <w:rFonts w:ascii="仿宋_GB2312" w:eastAsia="仿宋_GB2312" w:hAnsi="黑体" w:hint="eastAsia"/>
          <w:sz w:val="28"/>
          <w:szCs w:val="28"/>
        </w:rPr>
        <w:t>。</w:t>
      </w:r>
    </w:p>
    <w:p w:rsidR="00181C2D" w:rsidRDefault="004E13A6" w:rsidP="00181C2D">
      <w:pPr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附件：关于开展2</w:t>
      </w:r>
      <w:r>
        <w:rPr>
          <w:rFonts w:ascii="仿宋_GB2312" w:eastAsia="仿宋_GB2312" w:hAnsi="黑体"/>
          <w:sz w:val="28"/>
          <w:szCs w:val="28"/>
        </w:rPr>
        <w:t>020</w:t>
      </w:r>
      <w:r>
        <w:rPr>
          <w:rFonts w:ascii="仿宋_GB2312" w:eastAsia="仿宋_GB2312" w:hAnsi="黑体" w:hint="eastAsia"/>
          <w:sz w:val="28"/>
          <w:szCs w:val="28"/>
        </w:rPr>
        <w:t>年江苏省教育信息化论文征集活动的通知</w:t>
      </w:r>
    </w:p>
    <w:p w:rsidR="004E13A6" w:rsidRDefault="004E13A6" w:rsidP="00181C2D">
      <w:pPr>
        <w:rPr>
          <w:rFonts w:ascii="仿宋_GB2312" w:eastAsia="仿宋_GB2312" w:hAnsi="黑体"/>
          <w:sz w:val="28"/>
          <w:szCs w:val="28"/>
        </w:rPr>
      </w:pPr>
    </w:p>
    <w:p w:rsidR="004E13A6" w:rsidRDefault="004E13A6" w:rsidP="00181C2D">
      <w:pPr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 xml:space="preserve"> </w:t>
      </w:r>
      <w:r>
        <w:rPr>
          <w:rFonts w:ascii="仿宋_GB2312" w:eastAsia="仿宋_GB2312" w:hAnsi="黑体"/>
          <w:sz w:val="28"/>
          <w:szCs w:val="28"/>
        </w:rPr>
        <w:t xml:space="preserve">                                  </w:t>
      </w:r>
      <w:r>
        <w:rPr>
          <w:rFonts w:ascii="仿宋_GB2312" w:eastAsia="仿宋_GB2312" w:hAnsi="黑体" w:hint="eastAsia"/>
          <w:sz w:val="28"/>
          <w:szCs w:val="28"/>
        </w:rPr>
        <w:t>苏州市吴中区教育技术中心</w:t>
      </w:r>
    </w:p>
    <w:p w:rsidR="007549A0" w:rsidRDefault="002E3E58" w:rsidP="00181C2D">
      <w:pPr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 xml:space="preserve"> </w:t>
      </w:r>
      <w:r>
        <w:rPr>
          <w:rFonts w:ascii="仿宋_GB2312" w:eastAsia="仿宋_GB2312" w:hAnsi="黑体"/>
          <w:sz w:val="28"/>
          <w:szCs w:val="28"/>
        </w:rPr>
        <w:t xml:space="preserve"> </w:t>
      </w:r>
      <w:r w:rsidR="007549A0">
        <w:rPr>
          <w:rFonts w:ascii="仿宋_GB2312" w:eastAsia="仿宋_GB2312" w:hAnsi="黑体"/>
          <w:sz w:val="28"/>
          <w:szCs w:val="28"/>
        </w:rPr>
        <w:t xml:space="preserve">     </w:t>
      </w:r>
      <w:r>
        <w:rPr>
          <w:rFonts w:ascii="仿宋_GB2312" w:eastAsia="仿宋_GB2312" w:hAnsi="黑体"/>
          <w:sz w:val="28"/>
          <w:szCs w:val="28"/>
        </w:rPr>
        <w:t xml:space="preserve">            </w:t>
      </w:r>
      <w:r w:rsidR="00A07A2D">
        <w:rPr>
          <w:rFonts w:ascii="仿宋_GB2312" w:eastAsia="仿宋_GB2312" w:hAnsi="黑体"/>
          <w:sz w:val="28"/>
          <w:szCs w:val="28"/>
        </w:rPr>
        <w:t xml:space="preserve">                        2020.7.7  </w:t>
      </w:r>
    </w:p>
    <w:p w:rsidR="00A07A2D" w:rsidRDefault="00A07A2D" w:rsidP="00181C2D">
      <w:pPr>
        <w:rPr>
          <w:rFonts w:ascii="仿宋_GB2312" w:eastAsia="仿宋_GB2312" w:hAnsi="黑体"/>
          <w:sz w:val="28"/>
          <w:szCs w:val="28"/>
        </w:rPr>
      </w:pPr>
    </w:p>
    <w:p w:rsidR="00A07A2D" w:rsidRDefault="00A07A2D" w:rsidP="00181C2D">
      <w:pPr>
        <w:rPr>
          <w:rFonts w:ascii="仿宋_GB2312" w:eastAsia="仿宋_GB2312" w:hAnsi="黑体"/>
          <w:sz w:val="28"/>
          <w:szCs w:val="28"/>
        </w:rPr>
      </w:pPr>
    </w:p>
    <w:tbl>
      <w:tblPr>
        <w:tblW w:w="8075" w:type="dxa"/>
        <w:tblLook w:val="04A0" w:firstRow="1" w:lastRow="0" w:firstColumn="1" w:lastColumn="0" w:noHBand="0" w:noVBand="1"/>
      </w:tblPr>
      <w:tblGrid>
        <w:gridCol w:w="692"/>
        <w:gridCol w:w="3126"/>
        <w:gridCol w:w="1200"/>
        <w:gridCol w:w="3057"/>
      </w:tblGrid>
      <w:tr w:rsidR="007549A0" w:rsidRPr="00A07A2D" w:rsidTr="007549A0">
        <w:trPr>
          <w:trHeight w:val="510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一等奖</w:t>
            </w:r>
          </w:p>
        </w:tc>
      </w:tr>
      <w:tr w:rsidR="007549A0" w:rsidRPr="00A07A2D" w:rsidTr="007549A0">
        <w:trPr>
          <w:trHeight w:val="28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论文题目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华东师范大学苏州湾实验小学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王宇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新冠肺炎疫情下的网络教学与管理有效应用的策略研究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江苏省木渎高级中学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仲伟伟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基于翻转课堂的高中历史深度学习的构建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南京师范大学附属苏州石湖实验小学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张婷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基于创客教育理念的小学信息技术课堂教学模式初探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苏州市太湖旅游中等专业学校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符国新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小议AR技术在职教学科中的运用</w:t>
            </w:r>
          </w:p>
        </w:tc>
      </w:tr>
      <w:tr w:rsidR="007549A0" w:rsidRPr="00A07A2D" w:rsidTr="007549A0">
        <w:trPr>
          <w:trHeight w:val="8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苏州太湖国家旅游度假区香山实验小学附属幼儿园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姜盟盟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基于STEAM教育理念下小班阅读区绘本选择的研究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苏州太湖国家旅游度假区舟山实验小学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卞春霞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人工智能生态下开展编程创新教育的实践研究</w:t>
            </w:r>
          </w:p>
        </w:tc>
      </w:tr>
      <w:tr w:rsidR="007549A0" w:rsidRPr="00A07A2D" w:rsidTr="007549A0">
        <w:trPr>
          <w:trHeight w:val="28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吴中区宝带实验小学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高全俊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云技术，促学生与教材无限链接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吴中区宝带实验小学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胡向锋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基于物联网小学大自然气象微观探究活动的设计与研究方法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吴中区车坊小学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陈婷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小中有力量，“微”中学新知-谈微课在小学美术课堂中的作用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吴中区东湖小学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王中鹏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线上课堂中如何提高学生的学习效果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吴中区东湖小学附属幼儿园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翁健蕙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教育信息化助力幼儿园教师专业化成长</w:t>
            </w:r>
          </w:p>
        </w:tc>
      </w:tr>
      <w:tr w:rsidR="007549A0" w:rsidRPr="00A07A2D" w:rsidTr="007549A0">
        <w:trPr>
          <w:trHeight w:val="28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吴中区东山实验小学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沈秋琴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依托信息技术 构建高效学习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吴中区东山实验小学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盛飞飞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“互联网+”小学数学教与学背景下的思与忧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吴中区东山实验小学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陆晓红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小“钉钉”  大功能——谈疫情防控中“钉钉”平台的使用</w:t>
            </w:r>
          </w:p>
        </w:tc>
      </w:tr>
      <w:tr w:rsidR="007549A0" w:rsidRPr="00A07A2D" w:rsidTr="007549A0">
        <w:trPr>
          <w:trHeight w:val="8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吴中区东山实验小学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吴冰艳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论深度学习视域下信息技术的应用策略——以小学语文阅读教学为例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吴中区东山实验小学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李悦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steam教育理念与数学游戏棋相融合的可行性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吴中区东山中心小学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江月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信息化教育在小学音乐课中实践与运用</w:t>
            </w:r>
          </w:p>
        </w:tc>
      </w:tr>
      <w:tr w:rsidR="007549A0" w:rsidRPr="00A07A2D" w:rsidTr="007549A0">
        <w:trPr>
          <w:trHeight w:val="8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吴中区光福中心小学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俞斌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“物联网+”时代背景下小学生STEM思维培养策略——以小学数学课堂教学为例</w:t>
            </w:r>
          </w:p>
        </w:tc>
      </w:tr>
      <w:tr w:rsidR="007549A0" w:rsidRPr="00A07A2D" w:rsidTr="007549A0">
        <w:trPr>
          <w:trHeight w:val="8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吴中区光福中心小学附属幼儿园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戴震岗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疫情之下的停课不停“游”--信息化远程教学在学前教育中的应用分析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吴中区光福中学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张绍东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离校不离教，停课不停学，谈高效网络学习共同体的构建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吴中区横泾实验小学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吴华英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论现代信息技术在《道德法治》教学中的应用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吴中区横泾实验小学附属幼儿园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陆凤静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基于科技为“韵”，“舞”出美术之趣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吴中区横泾实验小学附属幼儿园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谢安滢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创客教育视野下的幼儿园“生活自然式”美术课程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吴中区临湖实验小学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金丽萍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扬信息技术之帆，为英语学习助力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吴中区木渎范仲淹实验小学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宋欢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疫情背景下基于智慧教育云平台远程混合式教学的实践和思考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吴中区木渎范仲淹实验小学附属幼儿园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王茜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微信巧搭台 家园零距离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吴中区木渎姑苏实验小学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俞芸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有效开展“隔屏教育”，优化线上资源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吴中区木渎姑苏实验小学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余乐伟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“行走的”投影仪  多彩的数学课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吴中区木渎南行中学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李啸 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从省级信息化能手比赛看新技术融合创新实践</w:t>
            </w:r>
          </w:p>
        </w:tc>
      </w:tr>
      <w:tr w:rsidR="007549A0" w:rsidRPr="00A07A2D" w:rsidTr="007549A0">
        <w:trPr>
          <w:trHeight w:val="28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吴中区吴淞江实验小学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王兴国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依托移动物联  构建高效课堂</w:t>
            </w:r>
          </w:p>
        </w:tc>
      </w:tr>
      <w:tr w:rsidR="007549A0" w:rsidRPr="00A07A2D" w:rsidTr="007549A0">
        <w:trPr>
          <w:trHeight w:val="28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吴中区迎春中学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张根荣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摭谈Vlog的教研应用价值</w:t>
            </w:r>
          </w:p>
        </w:tc>
      </w:tr>
      <w:tr w:rsidR="007549A0" w:rsidRPr="00A07A2D" w:rsidTr="00444A86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A0" w:rsidRPr="00A07A2D" w:rsidRDefault="00444A86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</w:t>
            </w:r>
            <w:r w:rsidRPr="00A07A2D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甪</w:t>
            </w:r>
            <w:r w:rsidRPr="00A07A2D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直实验小学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A0" w:rsidRPr="00A07A2D" w:rsidRDefault="00444A86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陈晶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9A0" w:rsidRPr="00A07A2D" w:rsidRDefault="00444A86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特殊时期网络学习共同体在小学教育中应用的探究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吴中区迎春中学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吴良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浅谈短视频在初中物理教学中的应用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吴中区越溪实验小学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沈剑峰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小学美术在线教学活动的开展策略分析</w:t>
            </w:r>
          </w:p>
        </w:tc>
      </w:tr>
      <w:tr w:rsidR="007549A0" w:rsidRPr="00A07A2D" w:rsidTr="007549A0">
        <w:trPr>
          <w:trHeight w:val="28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吴中区越溪实验小学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潘丽群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如何开展小学阶段机器人教学</w:t>
            </w:r>
          </w:p>
        </w:tc>
      </w:tr>
      <w:tr w:rsidR="007549A0" w:rsidRPr="00A07A2D" w:rsidTr="007549A0">
        <w:trPr>
          <w:trHeight w:val="525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二等奖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江苏省木渎高级中学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吕敏兰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教育技术在初中数学教学中的应用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南京师范大学附属苏州石湖实验小学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蔡林华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微课在小学信息技术3D打印教学几点探讨</w:t>
            </w:r>
          </w:p>
        </w:tc>
      </w:tr>
      <w:tr w:rsidR="007549A0" w:rsidRPr="00A07A2D" w:rsidTr="007549A0">
        <w:trPr>
          <w:trHeight w:val="8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苏州太湖国家旅游度假区香山实验小学附属蒯祥幼儿园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王娇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浅谈幼儿园教育信息化的重要性及其应用</w:t>
            </w:r>
          </w:p>
        </w:tc>
      </w:tr>
      <w:tr w:rsidR="007549A0" w:rsidRPr="00A07A2D" w:rsidTr="007549A0">
        <w:trPr>
          <w:trHeight w:val="8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苏州太湖国家旅游度假区香山实验小学附属蒯祥幼儿园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伏瑶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浅谈多媒体使用对幼儿园教育的影响</w:t>
            </w:r>
          </w:p>
        </w:tc>
      </w:tr>
      <w:tr w:rsidR="007549A0" w:rsidRPr="00A07A2D" w:rsidTr="007549A0">
        <w:trPr>
          <w:trHeight w:val="8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苏州太湖国家旅游度假区香山实验小学附属幼儿园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吴春仙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信息技术与大班科学活动的有效整合</w:t>
            </w:r>
          </w:p>
        </w:tc>
      </w:tr>
      <w:tr w:rsidR="007549A0" w:rsidRPr="00A07A2D" w:rsidTr="007549A0">
        <w:trPr>
          <w:trHeight w:val="8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苏州太湖国家旅游度假区香山实验小学附属幼儿园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余岚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幼儿园音乐教育活动与信息技术融合的探究</w:t>
            </w:r>
          </w:p>
        </w:tc>
      </w:tr>
      <w:tr w:rsidR="007549A0" w:rsidRPr="00A07A2D" w:rsidTr="007549A0">
        <w:trPr>
          <w:trHeight w:val="8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苏州太湖国家旅游度假区香山实验小学附属幼儿园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周郁梅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巧用多媒体，打造有趣的数学空间</w:t>
            </w:r>
          </w:p>
        </w:tc>
      </w:tr>
      <w:tr w:rsidR="007549A0" w:rsidRPr="00A07A2D" w:rsidTr="007549A0">
        <w:trPr>
          <w:trHeight w:val="8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苏州太湖国家旅游度假区舟山实验小学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陈慧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基于成长型思维角度下对“新冠肺炎”疫情中网络远程教学的思考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苏州太湖国家旅游度假区舟山实验小学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张月晨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“互联网+”小学英语作业的初探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苏州太湖国家旅游度假区舟山实验小学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沈青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“新冠肺炎”疫情下小学英语在线教学存在问题及应对策略研究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吴中区碧波实验小学枫津路校区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宣国琴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唤醒学生学习语文的“洪荒之力”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吴中区碧波实验小学枫津路校区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郑秋芳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教学亦需投其所好，使其乐学之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吴中区城西中学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王晓蕾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核心素养下给语文阅读加点“糖”</w:t>
            </w:r>
          </w:p>
        </w:tc>
      </w:tr>
      <w:tr w:rsidR="007549A0" w:rsidRPr="00A07A2D" w:rsidTr="007549A0">
        <w:trPr>
          <w:trHeight w:val="28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吴中区东湖小学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王俊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当数学遇上信息技术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吴中区东湖小学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庄佳佳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“互联网+”背景下小学英语微课教学与应用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吴中区东湖小学附属幼儿园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钱秀兰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浅谈多媒体技术在学前教育中的有效运用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吴中区东山实验小学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吴思芸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玩转教育技术，创“趣”美术教育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吴中区东山实验小学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袁梦丽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融合多媒体技术-让幼儿美术教育插上新翅膀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吴中区东山中心小学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叶芳妹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巧用多媒体让美术活动“活”起来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吴中区独墅湖实验小学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瞿逸菲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“互联网+”时代小学信息技术课程教学模式探析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吴中区光福中心小学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杨少华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“停课不停学”——谈远程教育在语文教学中的有效应用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吴中区光福中心小学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储黎丽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浅谈信息技术在语文课堂中的应用与思考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吴中区光福中心小学附属幼儿园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杨雯杰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巧用视频剪辑技能优化幼儿园“云课堂”</w:t>
            </w:r>
          </w:p>
        </w:tc>
      </w:tr>
      <w:tr w:rsidR="007549A0" w:rsidRPr="00A07A2D" w:rsidTr="007549A0">
        <w:trPr>
          <w:trHeight w:val="57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吴中区郭巷实验小学附属幼儿园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魏晨怡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现代教育技术在幼儿绘本阅读中的作用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吴中区横泾实验小学附属幼儿园新齐分园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郭园园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科技入教学，融合新趣味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吴中区临湖第一中学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张景华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智慧教育背景下全面培养学生生物学科学探究能力的研究</w:t>
            </w:r>
          </w:p>
        </w:tc>
      </w:tr>
      <w:tr w:rsidR="007549A0" w:rsidRPr="00A07A2D" w:rsidTr="007549A0">
        <w:trPr>
          <w:trHeight w:val="28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吴中区临湖实验小学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张国芳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立足课堂，教书育人</w:t>
            </w:r>
          </w:p>
        </w:tc>
      </w:tr>
      <w:tr w:rsidR="00444A86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A86" w:rsidRPr="00A07A2D" w:rsidRDefault="00444A86" w:rsidP="00444A8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A86" w:rsidRPr="00A07A2D" w:rsidRDefault="00444A86" w:rsidP="00444A8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吴中区迎春中学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A86" w:rsidRPr="00A07A2D" w:rsidRDefault="00444A86" w:rsidP="00444A8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张根荣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A86" w:rsidRPr="00A07A2D" w:rsidRDefault="00444A86" w:rsidP="00444A8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浅谈微视频在初中体育教学中的应用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吴中区木渎姑苏实验小学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林强强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基于“大数据”的中小学校园足球运动员选材构想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吴中区木渎南行实验小学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宁静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小学高段语文写作翻转课堂的瓶颈与突破</w:t>
            </w:r>
          </w:p>
        </w:tc>
      </w:tr>
      <w:tr w:rsidR="007549A0" w:rsidRPr="00A07A2D" w:rsidTr="007549A0">
        <w:trPr>
          <w:trHeight w:val="85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吴中区苏苑实验小学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薛臻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111F2C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color w:val="111F2C"/>
                <w:kern w:val="0"/>
                <w:sz w:val="24"/>
                <w:szCs w:val="24"/>
              </w:rPr>
              <w:t>千里“音”缘一线牵——基于“互联网+课程”，促进基础教育公平</w:t>
            </w:r>
          </w:p>
        </w:tc>
      </w:tr>
      <w:tr w:rsidR="007549A0" w:rsidRPr="00A07A2D" w:rsidTr="007549A0">
        <w:trPr>
          <w:trHeight w:val="57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吴中区吴中实验小学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周育英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合理利用小技巧打造PPT的独特之美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吴中区迎春中学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周敏芳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初中创客教育中培养学生创新意识的实施策略</w:t>
            </w:r>
          </w:p>
        </w:tc>
      </w:tr>
      <w:tr w:rsidR="007549A0" w:rsidRPr="00A07A2D" w:rsidTr="007549A0">
        <w:trPr>
          <w:trHeight w:val="28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吴中区越溪实验小学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李慧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利用微课提升语文课堂教学效率</w:t>
            </w:r>
          </w:p>
        </w:tc>
      </w:tr>
      <w:tr w:rsidR="007549A0" w:rsidRPr="00A07A2D" w:rsidTr="007549A0">
        <w:trPr>
          <w:trHeight w:val="28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吴中区越溪实验小学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许建华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现代信息技术助力书法教育浅探</w:t>
            </w:r>
          </w:p>
        </w:tc>
      </w:tr>
      <w:tr w:rsidR="007549A0" w:rsidRPr="00A07A2D" w:rsidTr="007549A0">
        <w:trPr>
          <w:trHeight w:val="705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三等奖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华东师范大学苏州湾实验小学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王晓清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网络学习下的小学数学智慧课堂教学策略探索</w:t>
            </w:r>
          </w:p>
        </w:tc>
      </w:tr>
      <w:tr w:rsidR="007549A0" w:rsidRPr="00A07A2D" w:rsidTr="007549A0">
        <w:trPr>
          <w:trHeight w:val="8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苏州太湖国家旅游度假区香山实验小学附属蒯祥幼儿园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朱万德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巧借教育信息化 促进幼儿教师信息素养提升</w:t>
            </w:r>
          </w:p>
        </w:tc>
      </w:tr>
      <w:tr w:rsidR="007549A0" w:rsidRPr="00A07A2D" w:rsidTr="007549A0">
        <w:trPr>
          <w:trHeight w:val="8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苏州太湖国家旅游度假区香山实验小学附属蒯祥幼儿园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张蒙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信息技术化游戏促进幼儿情绪情感发展的研究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苏州太湖国家旅游度假区舟山实验小学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李敏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浅谈信息技术对小学班级教学管理的影响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苏州太湖国家旅游度假区舟山实验小学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席墨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居家学习方程式---试论低年级英语线上学习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吴中区碧波实验小学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朱蔚虹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人工智能技术对智慧教育建设发展的研究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吴中区东湖小学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金丽华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浅谈多媒体在音乐教学中的有效性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吴中区东山实验小学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叶晓华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有效利用云平台，花式开展幼儿线上教学初探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吴中区东山实验小学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顾晴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依靠PPT突破难点，提升教学有效度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吴中区东山实验小学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杨诗怡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信息技术在幼儿园一日活动中的融合运用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吴中区东山实验小学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何先波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论音诗画交响音乐会《和平颂》录音与扩声要点</w:t>
            </w:r>
          </w:p>
        </w:tc>
      </w:tr>
      <w:tr w:rsidR="007549A0" w:rsidRPr="00A07A2D" w:rsidTr="007549A0">
        <w:trPr>
          <w:trHeight w:val="28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吴中区东山中心小学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陈燕君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发挥网络优势 拓宽作文教法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吴中区光福中心小学附属幼儿园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顾玉亭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浅析多媒体技术在幼儿音乐教育中的应用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吴中区光福中学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张妍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数字化教学对中学英语教学的正面效应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吴中区横泾实验小学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王晓华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一泓灵动的春水——探索现代教育技术与体育室内课的交融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吴中区横泾实验小学附属幼儿园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王铝迎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例谈教育信息化下的幼儿音乐教学活动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吴中区横泾实验小学附属幼儿园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徐晴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运用现代化教学手段助力幼儿园科学教育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</w:t>
            </w:r>
            <w:r w:rsidRPr="00A07A2D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甪</w:t>
            </w:r>
            <w:r w:rsidRPr="00A07A2D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直实验小学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孙凯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基于scratch的小学生计算思维能力培养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吴中区木渎姑苏实验小学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周芸霞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疫情下小学低年级语文网络课程的学习思考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吴中区木渎姑苏实验小学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李悦曦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探索如何把慕课与传统小学数学课堂相结合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吴中区木渎南行实验小学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史颖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教育信息化提升师生信息素养的研究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吴中区木渎南行实验小学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顾永明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网络学习空间下优化小学数学课堂教学的策略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吴中区木渎南行中学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李啸 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基于STEM教育理念的IYPT实验中学课外实践研究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吴中区木渎实验小学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顾晶磊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计算思维融入课堂——从抽象到具体</w:t>
            </w:r>
          </w:p>
        </w:tc>
      </w:tr>
      <w:tr w:rsidR="007549A0" w:rsidRPr="00A07A2D" w:rsidTr="007549A0">
        <w:trPr>
          <w:trHeight w:val="57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吴中区吴中实验小学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孙亚茹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互联网背景下偏远地区音乐教育研究</w:t>
            </w:r>
          </w:p>
        </w:tc>
      </w:tr>
      <w:tr w:rsidR="007549A0" w:rsidRPr="00A07A2D" w:rsidTr="007549A0">
        <w:trPr>
          <w:trHeight w:val="57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吴中区吴中实验小学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范寒怡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信息化背景下小学英语教学模式的“创变”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吴中区西山中心小学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戚静君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网络学习——一场疫情带来的师生信息化全面提升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吴中区迎春中学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闻壹兵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2"/>
              </w:rPr>
              <w:t>网络学习共同体有效应用的策略研究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吴中区越溪实验小学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虞怡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做好微信推送——助推幼儿园文化教育</w:t>
            </w:r>
          </w:p>
        </w:tc>
      </w:tr>
      <w:tr w:rsidR="007549A0" w:rsidRPr="00A07A2D" w:rsidTr="007549A0">
        <w:trPr>
          <w:trHeight w:val="54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9A0" w:rsidRPr="00A07A2D" w:rsidRDefault="007549A0" w:rsidP="007549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07A2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吴中区越溪实验小学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马龙润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9A0" w:rsidRPr="00A07A2D" w:rsidRDefault="007549A0" w:rsidP="007549A0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A07A2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“教育信息化”背景下多媒体技术在体育课堂教学中运用策略</w:t>
            </w:r>
          </w:p>
        </w:tc>
      </w:tr>
    </w:tbl>
    <w:p w:rsidR="007549A0" w:rsidRPr="00260162" w:rsidRDefault="007549A0" w:rsidP="00181C2D">
      <w:pPr>
        <w:rPr>
          <w:rFonts w:ascii="仿宋_GB2312" w:eastAsia="仿宋_GB2312" w:hAnsi="黑体"/>
          <w:sz w:val="28"/>
          <w:szCs w:val="28"/>
        </w:rPr>
      </w:pPr>
    </w:p>
    <w:sectPr w:rsidR="007549A0" w:rsidRPr="00260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AF"/>
    <w:rsid w:val="00181C2D"/>
    <w:rsid w:val="00197CA2"/>
    <w:rsid w:val="00260162"/>
    <w:rsid w:val="002E3E58"/>
    <w:rsid w:val="00444A86"/>
    <w:rsid w:val="004E13A6"/>
    <w:rsid w:val="005206A4"/>
    <w:rsid w:val="007231AF"/>
    <w:rsid w:val="007549A0"/>
    <w:rsid w:val="00951B73"/>
    <w:rsid w:val="00A07A2D"/>
    <w:rsid w:val="00A8603F"/>
    <w:rsid w:val="00B029A9"/>
    <w:rsid w:val="00E3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39BE9"/>
  <w15:chartTrackingRefBased/>
  <w15:docId w15:val="{F1222642-EE0D-4DB8-8306-476B8D33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549A0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7549A0"/>
  </w:style>
  <w:style w:type="paragraph" w:styleId="a5">
    <w:name w:val="Balloon Text"/>
    <w:basedOn w:val="a"/>
    <w:link w:val="a6"/>
    <w:uiPriority w:val="99"/>
    <w:semiHidden/>
    <w:unhideWhenUsed/>
    <w:rsid w:val="00A07A2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A07A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7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2020-07-07T03:05:00Z</cp:lastPrinted>
  <dcterms:created xsi:type="dcterms:W3CDTF">2020-07-03T02:39:00Z</dcterms:created>
  <dcterms:modified xsi:type="dcterms:W3CDTF">2020-07-07T05:33:00Z</dcterms:modified>
</cp:coreProperties>
</file>